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E67" w:rsidRDefault="000F2E67" w:rsidP="000F2E67">
      <w:pPr>
        <w:numPr>
          <w:ilvl w:val="0"/>
          <w:numId w:val="1"/>
        </w:numPr>
        <w:jc w:val="both"/>
        <w:rPr>
          <w:rFonts w:eastAsia="Times New Roman"/>
        </w:rPr>
      </w:pPr>
      <w:r>
        <w:rPr>
          <w:rFonts w:eastAsia="Times New Roman"/>
        </w:rPr>
        <w:t xml:space="preserve">La boîte </w:t>
      </w:r>
      <w:hyperlink r:id="rId5" w:history="1">
        <w:r>
          <w:rPr>
            <w:rStyle w:val="Lienhypertexte"/>
            <w:rFonts w:eastAsia="Times New Roman"/>
            <w:b/>
            <w:bCs/>
          </w:rPr>
          <w:t>SCTD.CNRS.ContactFournisseur@cnrs.fr</w:t>
        </w:r>
      </w:hyperlink>
      <w:r>
        <w:rPr>
          <w:rFonts w:eastAsia="Times New Roman"/>
        </w:rPr>
        <w:t xml:space="preserve"> doit être l’unique point d’accès à toute demande d’assistance, des fournisseurs, dans la procédure de dépôt des factures. Les réponses apportées le seront, le plus souvent, via l’adresse </w:t>
      </w:r>
      <w:hyperlink r:id="rId6" w:history="1">
        <w:r>
          <w:rPr>
            <w:rStyle w:val="Lienhypertexte"/>
            <w:rFonts w:eastAsia="Times New Roman"/>
            <w:b/>
            <w:bCs/>
          </w:rPr>
          <w:t>SCTD.Choruspro@cnrs.fr</w:t>
        </w:r>
      </w:hyperlink>
      <w:r>
        <w:rPr>
          <w:rFonts w:eastAsia="Times New Roman"/>
        </w:rPr>
        <w:t>.</w:t>
      </w:r>
    </w:p>
    <w:p w:rsidR="000F2E67" w:rsidRDefault="000F2E67" w:rsidP="000F2E67">
      <w:pPr>
        <w:jc w:val="both"/>
      </w:pPr>
    </w:p>
    <w:p w:rsidR="000F2E67" w:rsidRDefault="000F2E67" w:rsidP="000F2E67">
      <w:pPr>
        <w:pStyle w:val="Paragraphedeliste"/>
        <w:numPr>
          <w:ilvl w:val="0"/>
          <w:numId w:val="1"/>
        </w:numPr>
        <w:jc w:val="both"/>
      </w:pPr>
      <w:r>
        <w:t xml:space="preserve">La </w:t>
      </w:r>
      <w:r>
        <w:rPr>
          <w:b/>
          <w:bCs/>
        </w:rPr>
        <w:t>brochure CNRS /CHORUS PRO</w:t>
      </w:r>
      <w:r>
        <w:t xml:space="preserve"> est un support de communication informatif, présentant succinctement la solution Chorus Pro, les modalités de dépôt des factures au format dématérialisé et nos choix de gestion.</w:t>
      </w:r>
    </w:p>
    <w:p w:rsidR="000F2E67" w:rsidRDefault="000F2E67" w:rsidP="000F2E67">
      <w:pPr>
        <w:ind w:left="708"/>
        <w:jc w:val="both"/>
      </w:pPr>
      <w:r>
        <w:t xml:space="preserve">Les principaux hyperliens utiles à l’inscription sur Chorus Pro, aux étapes clé de la procédure de dépôt et à la documentation technique y sont intégrés. Le site de référence est la « </w:t>
      </w:r>
      <w:r>
        <w:rPr>
          <w:b/>
          <w:bCs/>
        </w:rPr>
        <w:t>Communauté Chorus Pro</w:t>
      </w:r>
      <w:r>
        <w:t xml:space="preserve"> » géré par l’AIFE.</w:t>
      </w:r>
    </w:p>
    <w:p w:rsidR="000F2E67" w:rsidRDefault="000F2E67" w:rsidP="000F2E67">
      <w:pPr>
        <w:ind w:firstLine="708"/>
        <w:jc w:val="both"/>
      </w:pPr>
      <w:r>
        <w:t>Cette brochure ne peut donc se substituer à un mode opératoire ou à une procédure (Brochure disponible sur l’espace CORE DCIF-SCTD en version française et en version anglaise).</w:t>
      </w:r>
    </w:p>
    <w:p w:rsidR="000F2E67" w:rsidRDefault="000F2E67" w:rsidP="000F2E67">
      <w:pPr>
        <w:jc w:val="both"/>
      </w:pPr>
    </w:p>
    <w:p w:rsidR="000F2E67" w:rsidRDefault="000F2E67" w:rsidP="000F2E67">
      <w:pPr>
        <w:numPr>
          <w:ilvl w:val="0"/>
          <w:numId w:val="1"/>
        </w:numPr>
        <w:jc w:val="both"/>
        <w:rPr>
          <w:rFonts w:eastAsia="Times New Roman"/>
        </w:rPr>
      </w:pPr>
      <w:r>
        <w:rPr>
          <w:rFonts w:eastAsia="Times New Roman"/>
        </w:rPr>
        <w:t xml:space="preserve">Tout </w:t>
      </w:r>
      <w:r>
        <w:rPr>
          <w:rFonts w:eastAsia="Times New Roman"/>
          <w:b/>
          <w:bCs/>
        </w:rPr>
        <w:t>problème technique</w:t>
      </w:r>
      <w:r>
        <w:rPr>
          <w:rFonts w:eastAsia="Times New Roman"/>
        </w:rPr>
        <w:t xml:space="preserve"> (problème de connexion, perte du mot de passe, incident et problématiques d’utilisation du portail) doit faire l’objet d’un recours à l’assistance du support technique de l’AIFE, par le fournisseur :</w:t>
      </w:r>
    </w:p>
    <w:p w:rsidR="000F2E67" w:rsidRDefault="000F2E67" w:rsidP="000F2E67">
      <w:pPr>
        <w:jc w:val="both"/>
        <w:rPr>
          <w:b/>
          <w:bCs/>
        </w:rPr>
      </w:pPr>
    </w:p>
    <w:p w:rsidR="000F2E67" w:rsidRDefault="000F2E67" w:rsidP="000F2E67">
      <w:pPr>
        <w:ind w:firstLine="708"/>
        <w:jc w:val="both"/>
        <w:rPr>
          <w:b/>
          <w:bCs/>
        </w:rPr>
      </w:pPr>
      <w:r>
        <w:rPr>
          <w:b/>
          <w:bCs/>
        </w:rPr>
        <w:t>Il existe 2 possibilités pour contacter le support du portail :</w:t>
      </w:r>
    </w:p>
    <w:p w:rsidR="000F2E67" w:rsidRDefault="000F2E67" w:rsidP="000F2E67">
      <w:pPr>
        <w:jc w:val="both"/>
      </w:pPr>
    </w:p>
    <w:p w:rsidR="000F2E67" w:rsidRDefault="000F2E67" w:rsidP="000F2E67">
      <w:pPr>
        <w:pStyle w:val="Paragraphedeliste"/>
        <w:numPr>
          <w:ilvl w:val="0"/>
          <w:numId w:val="2"/>
        </w:numPr>
        <w:jc w:val="both"/>
        <w:rPr>
          <w:i/>
          <w:iCs/>
        </w:rPr>
      </w:pPr>
      <w:r>
        <w:rPr>
          <w:i/>
          <w:iCs/>
        </w:rPr>
        <w:t>Par l’onglet « </w:t>
      </w:r>
      <w:r>
        <w:rPr>
          <w:b/>
          <w:bCs/>
          <w:i/>
          <w:iCs/>
        </w:rPr>
        <w:t>Support</w:t>
      </w:r>
      <w:r>
        <w:rPr>
          <w:i/>
          <w:iCs/>
        </w:rPr>
        <w:t xml:space="preserve"> » du bandeau supérieur de la page d’accueil du portail : </w:t>
      </w:r>
      <w:hyperlink r:id="rId7" w:history="1">
        <w:r>
          <w:rPr>
            <w:rStyle w:val="Lienhypertexte"/>
            <w:i/>
            <w:iCs/>
          </w:rPr>
          <w:t>https://portail.chorus-pro.gouv.fr/aife_csm/</w:t>
        </w:r>
      </w:hyperlink>
    </w:p>
    <w:p w:rsidR="000F2E67" w:rsidRDefault="000F2E67" w:rsidP="000F2E67">
      <w:pPr>
        <w:pStyle w:val="Paragraphedeliste"/>
        <w:ind w:left="1068"/>
        <w:jc w:val="both"/>
        <w:rPr>
          <w:i/>
          <w:iCs/>
        </w:rPr>
      </w:pPr>
    </w:p>
    <w:p w:rsidR="000F2E67" w:rsidRDefault="000F2E67" w:rsidP="000F2E67">
      <w:pPr>
        <w:pStyle w:val="Paragraphedeliste"/>
        <w:numPr>
          <w:ilvl w:val="0"/>
          <w:numId w:val="3"/>
        </w:numPr>
        <w:jc w:val="both"/>
        <w:rPr>
          <w:i/>
          <w:iCs/>
        </w:rPr>
      </w:pPr>
      <w:proofErr w:type="gramStart"/>
      <w:r>
        <w:rPr>
          <w:b/>
          <w:bCs/>
        </w:rPr>
        <w:t>en</w:t>
      </w:r>
      <w:proofErr w:type="gramEnd"/>
      <w:r>
        <w:rPr>
          <w:b/>
          <w:bCs/>
        </w:rPr>
        <w:t xml:space="preserve"> mode non connecté</w:t>
      </w:r>
      <w:r>
        <w:t xml:space="preserve"> :</w:t>
      </w:r>
      <w:r>
        <w:rPr>
          <w:i/>
          <w:iCs/>
        </w:rPr>
        <w:t xml:space="preserve"> </w:t>
      </w:r>
      <w:proofErr w:type="spellStart"/>
      <w:r>
        <w:rPr>
          <w:b/>
          <w:bCs/>
          <w:i/>
          <w:iCs/>
        </w:rPr>
        <w:t>ClaudIA</w:t>
      </w:r>
      <w:proofErr w:type="spellEnd"/>
      <w:r>
        <w:rPr>
          <w:b/>
          <w:bCs/>
          <w:i/>
          <w:iCs/>
        </w:rPr>
        <w:t xml:space="preserve"> </w:t>
      </w:r>
      <w:r>
        <w:rPr>
          <w:i/>
          <w:iCs/>
        </w:rPr>
        <w:t>et</w:t>
      </w:r>
      <w:r>
        <w:rPr>
          <w:b/>
          <w:bCs/>
          <w:i/>
          <w:iCs/>
        </w:rPr>
        <w:t xml:space="preserve"> </w:t>
      </w:r>
      <w:proofErr w:type="spellStart"/>
      <w:r>
        <w:rPr>
          <w:b/>
          <w:bCs/>
          <w:i/>
          <w:iCs/>
        </w:rPr>
        <w:t>LiveChat</w:t>
      </w:r>
      <w:proofErr w:type="spellEnd"/>
      <w:r>
        <w:rPr>
          <w:b/>
          <w:bCs/>
          <w:i/>
          <w:iCs/>
        </w:rPr>
        <w:t xml:space="preserve">, </w:t>
      </w:r>
      <w:r>
        <w:rPr>
          <w:i/>
          <w:iCs/>
        </w:rPr>
        <w:t>ou</w:t>
      </w:r>
      <w:r>
        <w:rPr>
          <w:b/>
          <w:bCs/>
          <w:i/>
          <w:iCs/>
        </w:rPr>
        <w:t xml:space="preserve"> Envoyer une demande d’aide au support (*Nouveauté).</w:t>
      </w:r>
    </w:p>
    <w:p w:rsidR="000F2E67" w:rsidRDefault="000F2E67" w:rsidP="000F2E67">
      <w:pPr>
        <w:pStyle w:val="Paragraphedeliste"/>
        <w:numPr>
          <w:ilvl w:val="0"/>
          <w:numId w:val="3"/>
        </w:numPr>
        <w:jc w:val="both"/>
        <w:rPr>
          <w:i/>
          <w:iCs/>
        </w:rPr>
      </w:pPr>
      <w:proofErr w:type="gramStart"/>
      <w:r>
        <w:rPr>
          <w:b/>
          <w:bCs/>
        </w:rPr>
        <w:t>en</w:t>
      </w:r>
      <w:proofErr w:type="gramEnd"/>
      <w:r>
        <w:rPr>
          <w:b/>
          <w:bCs/>
        </w:rPr>
        <w:t xml:space="preserve"> mode connecté</w:t>
      </w:r>
      <w:r>
        <w:t> :</w:t>
      </w:r>
      <w:r>
        <w:rPr>
          <w:i/>
          <w:iCs/>
        </w:rPr>
        <w:t xml:space="preserve"> </w:t>
      </w:r>
      <w:proofErr w:type="spellStart"/>
      <w:r>
        <w:rPr>
          <w:b/>
          <w:bCs/>
          <w:i/>
          <w:iCs/>
        </w:rPr>
        <w:t>ClaudIA</w:t>
      </w:r>
      <w:proofErr w:type="spellEnd"/>
      <w:r>
        <w:rPr>
          <w:b/>
          <w:bCs/>
          <w:i/>
          <w:iCs/>
        </w:rPr>
        <w:t xml:space="preserve"> </w:t>
      </w:r>
      <w:r>
        <w:rPr>
          <w:i/>
          <w:iCs/>
        </w:rPr>
        <w:t>et</w:t>
      </w:r>
      <w:r>
        <w:rPr>
          <w:b/>
          <w:bCs/>
          <w:i/>
          <w:iCs/>
        </w:rPr>
        <w:t xml:space="preserve"> </w:t>
      </w:r>
      <w:proofErr w:type="spellStart"/>
      <w:r>
        <w:rPr>
          <w:b/>
          <w:bCs/>
          <w:i/>
          <w:iCs/>
        </w:rPr>
        <w:t>LiveChat</w:t>
      </w:r>
      <w:proofErr w:type="spellEnd"/>
      <w:r>
        <w:rPr>
          <w:b/>
          <w:bCs/>
          <w:i/>
          <w:iCs/>
        </w:rPr>
        <w:t xml:space="preserve"> </w:t>
      </w:r>
      <w:r>
        <w:rPr>
          <w:i/>
          <w:iCs/>
        </w:rPr>
        <w:t xml:space="preserve">ou </w:t>
      </w:r>
      <w:r>
        <w:rPr>
          <w:b/>
          <w:bCs/>
          <w:i/>
          <w:iCs/>
        </w:rPr>
        <w:t xml:space="preserve">Portail de support (*Nouveauté) &gt; </w:t>
      </w:r>
      <w:r>
        <w:rPr>
          <w:i/>
          <w:iCs/>
        </w:rPr>
        <w:t>concerne les échanges avec les équipes de support &gt; Accueil portail de support &gt; Créer un ticket &gt; Question à l’équipe Support ou Question au destinataire de la facture (saisir le Siret Destinataire)  </w:t>
      </w:r>
    </w:p>
    <w:p w:rsidR="000F2E67" w:rsidRDefault="000F2E67" w:rsidP="000F2E67">
      <w:pPr>
        <w:jc w:val="both"/>
        <w:rPr>
          <w:b/>
          <w:bCs/>
        </w:rPr>
      </w:pPr>
      <w:r>
        <w:rPr>
          <w:b/>
          <w:bCs/>
        </w:rPr>
        <w:t>                  </w:t>
      </w:r>
      <w:r>
        <w:rPr>
          <w:noProof/>
          <w:lang w:eastAsia="fr-FR"/>
        </w:rPr>
        <w:drawing>
          <wp:inline distT="0" distB="0" distL="0" distR="0">
            <wp:extent cx="9766300" cy="3924300"/>
            <wp:effectExtent l="0" t="0" r="6350" b="0"/>
            <wp:docPr id="2" name="Image 2" descr="cid:image001.png@01D8D8DE.81B016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8D8DE.81B016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9766300" cy="3924300"/>
                    </a:xfrm>
                    <a:prstGeom prst="rect">
                      <a:avLst/>
                    </a:prstGeom>
                    <a:noFill/>
                    <a:ln>
                      <a:noFill/>
                    </a:ln>
                  </pic:spPr>
                </pic:pic>
              </a:graphicData>
            </a:graphic>
          </wp:inline>
        </w:drawing>
      </w:r>
    </w:p>
    <w:p w:rsidR="000F2E67" w:rsidRDefault="000F2E67" w:rsidP="000F2E67">
      <w:pPr>
        <w:jc w:val="both"/>
        <w:rPr>
          <w:i/>
          <w:iCs/>
        </w:rPr>
      </w:pPr>
    </w:p>
    <w:p w:rsidR="000F2E67" w:rsidRDefault="000F2E67" w:rsidP="000F2E67">
      <w:pPr>
        <w:numPr>
          <w:ilvl w:val="0"/>
          <w:numId w:val="4"/>
        </w:numPr>
        <w:jc w:val="both"/>
        <w:rPr>
          <w:i/>
          <w:iCs/>
        </w:rPr>
      </w:pPr>
      <w:r>
        <w:rPr>
          <w:i/>
          <w:iCs/>
        </w:rPr>
        <w:t xml:space="preserve">Par « </w:t>
      </w:r>
      <w:r>
        <w:rPr>
          <w:b/>
          <w:bCs/>
          <w:i/>
          <w:iCs/>
        </w:rPr>
        <w:t>Nous contacter</w:t>
      </w:r>
      <w:r>
        <w:rPr>
          <w:i/>
          <w:iCs/>
        </w:rPr>
        <w:t xml:space="preserve"> » en bas de page d’accueil du portail (mode non connecté ou connecté) :</w:t>
      </w:r>
    </w:p>
    <w:p w:rsidR="000F2E67" w:rsidRDefault="000F2E67" w:rsidP="000F2E67">
      <w:pPr>
        <w:jc w:val="both"/>
        <w:rPr>
          <w:i/>
          <w:iCs/>
        </w:rPr>
      </w:pPr>
      <w:r>
        <w:rPr>
          <w:noProof/>
        </w:rPr>
        <w:drawing>
          <wp:anchor distT="0" distB="0" distL="114300" distR="114300" simplePos="0" relativeHeight="251658240" behindDoc="0" locked="0" layoutInCell="1" allowOverlap="1">
            <wp:simplePos x="0" y="0"/>
            <wp:positionH relativeFrom="column">
              <wp:posOffset>2581275</wp:posOffset>
            </wp:positionH>
            <wp:positionV relativeFrom="paragraph">
              <wp:posOffset>29845</wp:posOffset>
            </wp:positionV>
            <wp:extent cx="4095750" cy="885825"/>
            <wp:effectExtent l="0" t="0" r="0" b="9525"/>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onnecteur droit avec flèche 3"/>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5750" cy="885825"/>
                    </a:xfrm>
                    <a:prstGeom prst="rect">
                      <a:avLst/>
                    </a:prstGeom>
                    <a:noFill/>
                  </pic:spPr>
                </pic:pic>
              </a:graphicData>
            </a:graphic>
            <wp14:sizeRelH relativeFrom="margin">
              <wp14:pctWidth>0</wp14:pctWidth>
            </wp14:sizeRelH>
            <wp14:sizeRelV relativeFrom="margin">
              <wp14:pctHeight>0</wp14:pctHeight>
            </wp14:sizeRelV>
          </wp:anchor>
        </w:drawing>
      </w:r>
    </w:p>
    <w:p w:rsidR="000F2E67" w:rsidRDefault="000F2E67" w:rsidP="000F2E67">
      <w:pPr>
        <w:ind w:firstLine="708"/>
        <w:jc w:val="both"/>
        <w:rPr>
          <w:i/>
          <w:iCs/>
        </w:rPr>
      </w:pPr>
      <w:r>
        <w:rPr>
          <w:noProof/>
          <w:lang w:eastAsia="fr-FR"/>
        </w:rPr>
        <w:drawing>
          <wp:inline distT="0" distB="0" distL="0" distR="0">
            <wp:extent cx="8153400" cy="1695450"/>
            <wp:effectExtent l="0" t="0" r="0" b="0"/>
            <wp:docPr id="1" name="Image 1" descr="cid:image003.jpg@01D8D73E.9162B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3.jpg@01D8D73E.9162B8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8153400" cy="1695450"/>
                    </a:xfrm>
                    <a:prstGeom prst="rect">
                      <a:avLst/>
                    </a:prstGeom>
                    <a:noFill/>
                    <a:ln>
                      <a:noFill/>
                    </a:ln>
                  </pic:spPr>
                </pic:pic>
              </a:graphicData>
            </a:graphic>
          </wp:inline>
        </w:drawing>
      </w:r>
    </w:p>
    <w:p w:rsidR="000F2E67" w:rsidRDefault="000F2E67" w:rsidP="000F2E67">
      <w:pPr>
        <w:jc w:val="both"/>
        <w:rPr>
          <w:i/>
          <w:iCs/>
        </w:rPr>
      </w:pPr>
    </w:p>
    <w:p w:rsidR="000F2E67" w:rsidRDefault="000F2E67" w:rsidP="000F2E67">
      <w:pPr>
        <w:jc w:val="both"/>
      </w:pPr>
    </w:p>
    <w:p w:rsidR="000F2E67" w:rsidRDefault="000F2E67" w:rsidP="000F2E67">
      <w:pPr>
        <w:ind w:left="708"/>
        <w:jc w:val="both"/>
      </w:pPr>
      <w:r>
        <w:t xml:space="preserve">D’autres messages d’erreur comme : " </w:t>
      </w:r>
      <w:r>
        <w:rPr>
          <w:b/>
          <w:bCs/>
        </w:rPr>
        <w:t>Vous avez déjà déposé une demande de paiement avec ce numéro de facture pour cette structure</w:t>
      </w:r>
      <w:r>
        <w:t xml:space="preserve"> " bloque le dépôt. Ce message signifie que le système a détecté un doublon, éventuellement suite à tentative de réémission d’une facture rejetée où à transmission de facture portant le même numéro (ex : fournisseur indiquant une donnée identique dans la référence facture sur le </w:t>
      </w:r>
      <w:r w:rsidR="00CC2879">
        <w:t>portail...</w:t>
      </w:r>
      <w:r>
        <w:t>)</w:t>
      </w:r>
    </w:p>
    <w:p w:rsidR="000F2E67" w:rsidRDefault="000F2E67" w:rsidP="00CC2879">
      <w:pPr>
        <w:ind w:left="708"/>
        <w:jc w:val="both"/>
      </w:pPr>
      <w:r>
        <w:t>Suite à un rejet de facture, le fournisseur doit donc émettre une nouvelle facture sur l’exercice et ne pas effectuer le dépôt de la même facture corrigée.</w:t>
      </w:r>
    </w:p>
    <w:p w:rsidR="000F2E67" w:rsidRDefault="000F2E67" w:rsidP="000F2E67">
      <w:pPr>
        <w:ind w:firstLine="708"/>
        <w:jc w:val="both"/>
      </w:pPr>
    </w:p>
    <w:p w:rsidR="000F2E67" w:rsidRDefault="000F2E67" w:rsidP="000F2E67">
      <w:pPr>
        <w:pStyle w:val="Paragraphedeliste"/>
        <w:numPr>
          <w:ilvl w:val="0"/>
          <w:numId w:val="1"/>
        </w:numPr>
        <w:jc w:val="both"/>
      </w:pPr>
      <w:r>
        <w:t xml:space="preserve">Par ailleurs, le portail offre la possibilité au fournisseur de consulter le </w:t>
      </w:r>
      <w:r>
        <w:rPr>
          <w:b/>
          <w:bCs/>
        </w:rPr>
        <w:t>statut de ses factures</w:t>
      </w:r>
      <w:r>
        <w:t xml:space="preserve">, directement de sa page d’accueil connectée, domaine « </w:t>
      </w:r>
      <w:r>
        <w:rPr>
          <w:b/>
          <w:bCs/>
        </w:rPr>
        <w:t>Facturation</w:t>
      </w:r>
      <w:r>
        <w:t xml:space="preserve"> </w:t>
      </w:r>
      <w:bookmarkStart w:id="0" w:name="_GoBack"/>
      <w:bookmarkEnd w:id="0"/>
      <w:r w:rsidR="00CC2879">
        <w:t>», l’onglet</w:t>
      </w:r>
      <w:r>
        <w:t xml:space="preserve"> « </w:t>
      </w:r>
      <w:r>
        <w:rPr>
          <w:b/>
          <w:bCs/>
        </w:rPr>
        <w:t>Factures émises</w:t>
      </w:r>
      <w:r>
        <w:t xml:space="preserve"> ».</w:t>
      </w:r>
    </w:p>
    <w:p w:rsidR="000F2E67" w:rsidRDefault="000F2E67" w:rsidP="00CC2879">
      <w:pPr>
        <w:ind w:left="708"/>
        <w:jc w:val="both"/>
      </w:pPr>
      <w:r>
        <w:t>De plus, une notification lui est adressée par email à chaque changement de statut de sa facture, de sa mise à disposition au destinataire à sa mise en paiement ou à son rejet.</w:t>
      </w:r>
    </w:p>
    <w:p w:rsidR="000F2E67" w:rsidRDefault="000F2E67" w:rsidP="000F2E67">
      <w:pPr>
        <w:ind w:firstLine="708"/>
        <w:jc w:val="both"/>
      </w:pPr>
      <w:r>
        <w:t xml:space="preserve">Le </w:t>
      </w:r>
      <w:r>
        <w:rPr>
          <w:b/>
          <w:bCs/>
        </w:rPr>
        <w:t>rejet</w:t>
      </w:r>
      <w:r>
        <w:t xml:space="preserve"> est à </w:t>
      </w:r>
      <w:r>
        <w:rPr>
          <w:b/>
          <w:bCs/>
        </w:rPr>
        <w:t>acquitter</w:t>
      </w:r>
      <w:r>
        <w:t xml:space="preserve"> par le fournisseur sur le portail.</w:t>
      </w:r>
    </w:p>
    <w:p w:rsidR="000F2E67" w:rsidRDefault="000F2E67" w:rsidP="000F2E67">
      <w:pPr>
        <w:jc w:val="both"/>
      </w:pPr>
    </w:p>
    <w:p w:rsidR="000F2E67" w:rsidRDefault="000F2E67" w:rsidP="000F2E67">
      <w:pPr>
        <w:ind w:left="708"/>
        <w:jc w:val="both"/>
      </w:pPr>
      <w:r>
        <w:t>Pour preuve de la transmission de sa facture en mode portail, un récapitulatif apparaît sur l’écran de dépôt de l’utilisateur et un certificat de dépôt est généré au moment de l’émission de la facture. Ce dernier mentionne le transfert en cours vers le destinataire indiqué (SIRET), la référence facture et le montant net à payer. La lecture rapide de ce document permet parfois de constater rapidement une erreur du fournisseur sur les données transmises.</w:t>
      </w:r>
    </w:p>
    <w:p w:rsidR="000F2E67" w:rsidRDefault="000F2E67" w:rsidP="000F2E67">
      <w:pPr>
        <w:ind w:firstLine="708"/>
        <w:jc w:val="both"/>
      </w:pPr>
    </w:p>
    <w:p w:rsidR="000F2E67" w:rsidRDefault="000F2E67" w:rsidP="000F2E67">
      <w:pPr>
        <w:pStyle w:val="Paragraphedeliste"/>
        <w:numPr>
          <w:ilvl w:val="0"/>
          <w:numId w:val="1"/>
        </w:numPr>
        <w:jc w:val="both"/>
      </w:pPr>
      <w:r>
        <w:t xml:space="preserve">Nous constatons des erreurs fréquentes sur le choix des </w:t>
      </w:r>
      <w:r>
        <w:rPr>
          <w:b/>
          <w:bCs/>
        </w:rPr>
        <w:t>cadres de facturation</w:t>
      </w:r>
      <w:r>
        <w:t xml:space="preserve"> lors du dépôt, dont le choix de cadres de facturation en « </w:t>
      </w:r>
      <w:r>
        <w:rPr>
          <w:b/>
          <w:bCs/>
        </w:rPr>
        <w:t>Factures de travaux</w:t>
      </w:r>
      <w:r>
        <w:t xml:space="preserve"> », souvent signe d’une interprétation erronée de la part du fournisseur (Factures pour des travaux de réfection par exemple, hors marché de travaux). Certains fournisseurs déposent également à tort leur facture en « sous-traitance » pensant sous-traiter une activité pour le CNRS. Ces factures à valider ne sont transmises au destinataire final qu’à l’issue du délai réglementaire de 15 jours (délai du titulaire d’un marché pour valider les factures du sous-traitant).</w:t>
      </w:r>
    </w:p>
    <w:p w:rsidR="000F2E67" w:rsidRDefault="000F2E67" w:rsidP="000F2E67">
      <w:pPr>
        <w:ind w:firstLine="708"/>
        <w:jc w:val="both"/>
      </w:pPr>
      <w:r>
        <w:t>Une information spécifique peut être apportée par l’acheteur ou le gestionnaire, lorsqu’il est demandé au fournisseur de déposer sa facture sur le portail.</w:t>
      </w:r>
    </w:p>
    <w:p w:rsidR="000F2E67" w:rsidRDefault="000F2E67" w:rsidP="000F2E67">
      <w:pPr>
        <w:ind w:firstLine="708"/>
        <w:jc w:val="both"/>
      </w:pPr>
    </w:p>
    <w:p w:rsidR="000F2E67" w:rsidRDefault="000F2E67" w:rsidP="000F2E67">
      <w:pPr>
        <w:pStyle w:val="Paragraphedeliste"/>
        <w:numPr>
          <w:ilvl w:val="0"/>
          <w:numId w:val="1"/>
        </w:numPr>
        <w:jc w:val="both"/>
      </w:pPr>
      <w:r>
        <w:t xml:space="preserve">Lors du dépôt d’une facture par un fournisseur, notre Siret de facturation </w:t>
      </w:r>
      <w:proofErr w:type="gramStart"/>
      <w:r>
        <w:rPr>
          <w:b/>
          <w:bCs/>
        </w:rPr>
        <w:t>18008901303720</w:t>
      </w:r>
      <w:r>
        <w:t>  est</w:t>
      </w:r>
      <w:proofErr w:type="gramEnd"/>
      <w:r>
        <w:t xml:space="preserve"> à renseigner sur le portail, mais la mention CNRS est souvent omise sur le PDF de la facture, en particulier de la part des fournisseurs étrangers.</w:t>
      </w:r>
    </w:p>
    <w:p w:rsidR="000F2E67" w:rsidRDefault="000F2E67" w:rsidP="000F2E67">
      <w:pPr>
        <w:ind w:firstLine="708"/>
        <w:jc w:val="both"/>
      </w:pPr>
      <w:r>
        <w:t>Cette information pourrait aussi faire l’objet d’un rappel en appui de la demande de dépôt.</w:t>
      </w:r>
    </w:p>
    <w:p w:rsidR="005645A6" w:rsidRDefault="005645A6" w:rsidP="000F2E67">
      <w:pPr>
        <w:jc w:val="both"/>
      </w:pPr>
    </w:p>
    <w:sectPr w:rsidR="005645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B1309"/>
    <w:multiLevelType w:val="hybridMultilevel"/>
    <w:tmpl w:val="C2EC7FDC"/>
    <w:lvl w:ilvl="0" w:tplc="040C000B">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 w15:restartNumberingAfterBreak="0">
    <w:nsid w:val="0C217A62"/>
    <w:multiLevelType w:val="hybridMultilevel"/>
    <w:tmpl w:val="45C88E10"/>
    <w:lvl w:ilvl="0" w:tplc="B96608F0">
      <w:start w:val="1"/>
      <w:numFmt w:val="bullet"/>
      <w:lvlText w:val=""/>
      <w:lvlJc w:val="left"/>
      <w:pPr>
        <w:ind w:left="1776" w:hanging="360"/>
      </w:pPr>
      <w:rPr>
        <w:rFonts w:ascii="Symbol" w:eastAsia="Calibri" w:hAnsi="Symbol" w:cs="Calibri" w:hint="default"/>
        <w:b/>
        <w:i w:val="0"/>
      </w:rPr>
    </w:lvl>
    <w:lvl w:ilvl="1" w:tplc="040C0003">
      <w:start w:val="1"/>
      <w:numFmt w:val="bullet"/>
      <w:lvlText w:val="o"/>
      <w:lvlJc w:val="left"/>
      <w:pPr>
        <w:ind w:left="2496" w:hanging="360"/>
      </w:pPr>
      <w:rPr>
        <w:rFonts w:ascii="Courier New" w:hAnsi="Courier New" w:cs="Courier New" w:hint="default"/>
      </w:rPr>
    </w:lvl>
    <w:lvl w:ilvl="2" w:tplc="040C0005">
      <w:start w:val="1"/>
      <w:numFmt w:val="bullet"/>
      <w:lvlText w:val=""/>
      <w:lvlJc w:val="left"/>
      <w:pPr>
        <w:ind w:left="3216" w:hanging="360"/>
      </w:pPr>
      <w:rPr>
        <w:rFonts w:ascii="Wingdings" w:hAnsi="Wingdings" w:hint="default"/>
      </w:rPr>
    </w:lvl>
    <w:lvl w:ilvl="3" w:tplc="040C0001">
      <w:start w:val="1"/>
      <w:numFmt w:val="bullet"/>
      <w:lvlText w:val=""/>
      <w:lvlJc w:val="left"/>
      <w:pPr>
        <w:ind w:left="3936" w:hanging="360"/>
      </w:pPr>
      <w:rPr>
        <w:rFonts w:ascii="Symbol" w:hAnsi="Symbol" w:hint="default"/>
      </w:rPr>
    </w:lvl>
    <w:lvl w:ilvl="4" w:tplc="040C0003">
      <w:start w:val="1"/>
      <w:numFmt w:val="bullet"/>
      <w:lvlText w:val="o"/>
      <w:lvlJc w:val="left"/>
      <w:pPr>
        <w:ind w:left="4656" w:hanging="360"/>
      </w:pPr>
      <w:rPr>
        <w:rFonts w:ascii="Courier New" w:hAnsi="Courier New" w:cs="Courier New" w:hint="default"/>
      </w:rPr>
    </w:lvl>
    <w:lvl w:ilvl="5" w:tplc="040C0005">
      <w:start w:val="1"/>
      <w:numFmt w:val="bullet"/>
      <w:lvlText w:val=""/>
      <w:lvlJc w:val="left"/>
      <w:pPr>
        <w:ind w:left="5376" w:hanging="360"/>
      </w:pPr>
      <w:rPr>
        <w:rFonts w:ascii="Wingdings" w:hAnsi="Wingdings" w:hint="default"/>
      </w:rPr>
    </w:lvl>
    <w:lvl w:ilvl="6" w:tplc="040C0001">
      <w:start w:val="1"/>
      <w:numFmt w:val="bullet"/>
      <w:lvlText w:val=""/>
      <w:lvlJc w:val="left"/>
      <w:pPr>
        <w:ind w:left="6096" w:hanging="360"/>
      </w:pPr>
      <w:rPr>
        <w:rFonts w:ascii="Symbol" w:hAnsi="Symbol" w:hint="default"/>
      </w:rPr>
    </w:lvl>
    <w:lvl w:ilvl="7" w:tplc="040C0003">
      <w:start w:val="1"/>
      <w:numFmt w:val="bullet"/>
      <w:lvlText w:val="o"/>
      <w:lvlJc w:val="left"/>
      <w:pPr>
        <w:ind w:left="6816" w:hanging="360"/>
      </w:pPr>
      <w:rPr>
        <w:rFonts w:ascii="Courier New" w:hAnsi="Courier New" w:cs="Courier New" w:hint="default"/>
      </w:rPr>
    </w:lvl>
    <w:lvl w:ilvl="8" w:tplc="040C0005">
      <w:start w:val="1"/>
      <w:numFmt w:val="bullet"/>
      <w:lvlText w:val=""/>
      <w:lvlJc w:val="left"/>
      <w:pPr>
        <w:ind w:left="7536" w:hanging="360"/>
      </w:pPr>
      <w:rPr>
        <w:rFonts w:ascii="Wingdings" w:hAnsi="Wingdings" w:hint="default"/>
      </w:rPr>
    </w:lvl>
  </w:abstractNum>
  <w:abstractNum w:abstractNumId="2" w15:restartNumberingAfterBreak="0">
    <w:nsid w:val="42DC3917"/>
    <w:multiLevelType w:val="hybridMultilevel"/>
    <w:tmpl w:val="3038510C"/>
    <w:lvl w:ilvl="0" w:tplc="040C000B">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 w15:restartNumberingAfterBreak="0">
    <w:nsid w:val="47874B87"/>
    <w:multiLevelType w:val="hybridMultilevel"/>
    <w:tmpl w:val="90FA559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E67"/>
    <w:rsid w:val="000F2E67"/>
    <w:rsid w:val="005645A6"/>
    <w:rsid w:val="00CC28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D7CE6"/>
  <w15:chartTrackingRefBased/>
  <w15:docId w15:val="{9FA96E0E-8BAD-41E9-BF2E-CB7A921FB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2E67"/>
    <w:pPr>
      <w:spacing w:after="0" w:line="240" w:lineRule="auto"/>
    </w:pPr>
    <w:rPr>
      <w:rFonts w:ascii="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0F2E67"/>
    <w:rPr>
      <w:color w:val="0563C1"/>
      <w:u w:val="single"/>
    </w:rPr>
  </w:style>
  <w:style w:type="paragraph" w:styleId="Paragraphedeliste">
    <w:name w:val="List Paragraph"/>
    <w:basedOn w:val="Normal"/>
    <w:uiPriority w:val="34"/>
    <w:qFormat/>
    <w:rsid w:val="000F2E67"/>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080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il.chorus-pro.gouv.fr/aife_csm/" TargetMode="External"/><Relationship Id="rId12" Type="http://schemas.openxmlformats.org/officeDocument/2006/relationships/image" Target="cid:image004.jpg@01D8D8AB.9FEBAF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CTD.Choruspro@cnrs.fr" TargetMode="External"/><Relationship Id="rId11" Type="http://schemas.openxmlformats.org/officeDocument/2006/relationships/image" Target="media/image3.jpeg"/><Relationship Id="rId5" Type="http://schemas.openxmlformats.org/officeDocument/2006/relationships/hyperlink" Target="mailto:SCTD.CNRS.ContactFournisseur@cnrs.fr"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cid:image001.png@01D8D8DE.81B016D0"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698</Words>
  <Characters>3844</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CNRS DR14</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Ruggiero Pascale</dc:creator>
  <cp:keywords/>
  <dc:description/>
  <cp:lastModifiedBy>Ruggiero Pascale</cp:lastModifiedBy>
  <cp:revision>3</cp:revision>
  <dcterms:created xsi:type="dcterms:W3CDTF">2023-06-28T09:28:00Z</dcterms:created>
  <dcterms:modified xsi:type="dcterms:W3CDTF">2023-06-28T09:30:00Z</dcterms:modified>
</cp:coreProperties>
</file>